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sz w:val="28"/>
          <w:szCs w:val="28"/>
          <w:highlight w:val="none"/>
          <w:u w:val="none"/>
        </w:rPr>
        <w:outlineLvl w:val="1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u w:val="none"/>
        </w:rPr>
        <w:t xml:space="preserve">Приложение </w:t>
      </w:r>
      <w:r>
        <w:rPr>
          <w:b w:val="0"/>
          <w:bCs w:val="0"/>
          <w:i w:val="0"/>
          <w:iCs w:val="0"/>
          <w:u w:val="none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sz w:val="28"/>
          <w:szCs w:val="28"/>
          <w:u w:val="none"/>
        </w:rPr>
        <w:outlineLvl w:val="1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highlight w:val="none"/>
          <w:u w:val="none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i w:val="0"/>
          <w:sz w:val="28"/>
          <w:szCs w:val="28"/>
          <w:u w:val="none"/>
        </w:rPr>
        <w:outlineLvl w:val="1"/>
      </w:pPr>
      <w:r>
        <w:rPr>
          <w:rFonts w:ascii="Times New Roman" w:hAnsi="Times New Roman" w:eastAsia="Times New Roman" w:cs="Times New Roman"/>
          <w:b/>
          <w:bCs/>
          <w:i w:val="0"/>
          <w:iCs w:val="0"/>
          <w:sz w:val="28"/>
          <w:szCs w:val="28"/>
          <w:u w:val="none"/>
        </w:rPr>
        <w:t xml:space="preserve">Положение</w:t>
      </w:r>
      <w:r>
        <w:rPr>
          <w:b/>
          <w:bCs/>
          <w:i w:val="0"/>
          <w:iCs w:val="0"/>
          <w:u w:val="none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cs="Times New Roman"/>
          <w:b/>
          <w:bCs/>
          <w:i w:val="0"/>
          <w:sz w:val="28"/>
          <w:szCs w:val="28"/>
          <w:u w:val="none"/>
        </w:rPr>
        <w:outlineLvl w:val="1"/>
      </w:pPr>
      <w:r>
        <w:rPr>
          <w:rFonts w:ascii="Times New Roman" w:hAnsi="Times New Roman" w:eastAsia="Times New Roman" w:cs="Times New Roman"/>
          <w:b/>
          <w:bCs/>
          <w:i w:val="0"/>
          <w:iCs w:val="0"/>
          <w:sz w:val="28"/>
          <w:szCs w:val="28"/>
          <w:u w:val="none"/>
        </w:rPr>
        <w:t xml:space="preserve">об организации и проведении </w:t>
      </w:r>
      <w:r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u w:val="none"/>
        </w:rPr>
        <w:t xml:space="preserve">Цифровой литературной викторины, посвященной 80-летию Победы в Великой Отечественной войне </w:t>
      </w:r>
      <w:r>
        <w:rPr>
          <w:b/>
          <w:bCs/>
          <w:i w:val="0"/>
          <w:iCs w:val="0"/>
          <w:u w:val="none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cs="Times New Roman"/>
          <w:b w:val="0"/>
          <w:bCs w:val="0"/>
          <w:i w:val="0"/>
          <w:sz w:val="28"/>
          <w:szCs w:val="28"/>
          <w:highlight w:val="none"/>
          <w:u w:val="none"/>
        </w:rPr>
        <w:outlineLvl w:val="1"/>
      </w:pPr>
      <w:r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u w:val="none"/>
        </w:rPr>
        <w:t xml:space="preserve">1941 - 1945 годов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</w:rPr>
        <w:t xml:space="preserve"> </w:t>
      </w:r>
      <w:r>
        <w:rPr>
          <w:b w:val="0"/>
          <w:bCs w:val="0"/>
          <w:i w:val="0"/>
          <w:iCs w:val="0"/>
          <w:u w:val="none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  <w:outlineLvl w:val="1"/>
      </w:pP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none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none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 w:val="0"/>
          <w:i w:val="0"/>
          <w:color w:val="222222"/>
          <w:sz w:val="28"/>
          <w:szCs w:val="28"/>
          <w:highlight w:val="none"/>
          <w:u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222222"/>
          <w:sz w:val="28"/>
          <w:szCs w:val="28"/>
          <w:u w:val="none"/>
          <w:lang w:eastAsia="ru-RU"/>
        </w:rPr>
        <w:t xml:space="preserve">Раздел 1. Общие положения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222222"/>
          <w:sz w:val="28"/>
          <w:szCs w:val="28"/>
          <w:highlight w:val="none"/>
          <w:u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222222"/>
          <w:sz w:val="28"/>
          <w:szCs w:val="28"/>
          <w:highlight w:val="none"/>
          <w:u w:val="none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1.1. Настоящее Положение определяет цели, задачи и порядок проведения Цифровой викторины "Эхо Ленинградс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кой блокады" (далее — Викторина), посвященной 80-летию Победы в Великой Отечественной войне 1941-1945 годов. Викторина проводится в рамках проекта "Эхо Ленинградской блокады. Память Югры" и ориентирована на укрепление знаний по истории блокадного Ленинград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а, по вкладу Югры в Великую Победу, по военным произведениям и творчества писателя-фронтовика, защитника Ленинграда Д.А. Гранина </w:t>
        <w:br/>
        <w:t xml:space="preserve">с использованием Интернет-ресурсов ХМАО-Югры: коллекции «Округ в годы Великой Отечественной войны Электронной библиотеки Югры» </w:t>
      </w:r>
      <w:hyperlink r:id="rId10" w:tooltip="https://okrlib.ru/news/760" w:history="1">
        <w:r>
          <w:rPr>
            <w:rFonts w:ascii="Times New Roman" w:hAnsi="Times New Roman" w:eastAsia="Times New Roman" w:cs="Times New Roman"/>
            <w:b w:val="0"/>
            <w:bCs w:val="0"/>
            <w:i w:val="0"/>
            <w:iCs w:val="0"/>
            <w:color w:val="0563c1" w:themeColor="hyperlink"/>
            <w:sz w:val="28"/>
            <w:szCs w:val="28"/>
            <w:u w:val="none"/>
            <w:lang w:eastAsia="ru-RU"/>
          </w:rPr>
          <w:t xml:space="preserve">https://okrlib.ru/news/760</w:t>
        </w:r>
      </w:hyperlink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, материалов Сводного Интернет-ресурса «Память Югры» на сайте </w:t>
      </w:r>
      <w:hyperlink r:id="rId11" w:tooltip="https://cted.ru" w:history="1">
        <w:r>
          <w:rPr>
            <w:rFonts w:ascii="Times New Roman" w:hAnsi="Times New Roman" w:eastAsia="Times New Roman" w:cs="Times New Roman"/>
            <w:b w:val="0"/>
            <w:bCs w:val="0"/>
            <w:i w:val="0"/>
            <w:iCs w:val="0"/>
            <w:color w:val="0563c1" w:themeColor="hyperlink"/>
            <w:sz w:val="28"/>
            <w:szCs w:val="28"/>
            <w:u w:val="none"/>
            <w:lang w:eastAsia="ru-RU"/>
          </w:rPr>
          <w:t xml:space="preserve">https://cted.ru</w:t>
        </w:r>
      </w:hyperlink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 и электронного собрания сочинений Даниила Гранина. 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Грантооператор проекта – Фонд «Центр гражданских и социальных инициатив Югры».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1.2. Организаторы Викторины АНО Центр технологий электронной демократии, БУ «Государственная библиотека Югры», </w:t>
        <w:br/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u w:val="none"/>
          <w:lang w:eastAsia="ru-RU"/>
        </w:rPr>
        <w:t xml:space="preserve">МБУК «Централизованная библиотечная система» г. Сургута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 </w:t>
        <w:br/>
        <w:t xml:space="preserve">(далее – Организаторы). 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1.3. Соорганизаторы Викторины – Фонд сохранения и популяризации наследия Даниила Гранина (г. Са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нкт-Петербург), органы местного самоуправления Ханты-Мансийского автономного округа – Югры, осуществляющие управление в сфере образования и культуры, Центральные муниципальные библиотеки Ханты-Мансийского автономного округа – Югры (далее – Соорганизаторы).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1.4. Партнёрами Конкурса выступают: Департамен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т культуры </w:t>
        <w:br/>
        <w:t xml:space="preserve">Ханты-Мансийского автономного округа – Югры, Департамент образования и науки Ханты-Мансийского автономного округа – Югры, Департамент информационных технологий и цифрового развития Ханты-Мансийского автономного округа – Югры, (далее – Партнёры).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1.5. Викторина имеет статус регионального соревновательного мероприятия для участников в 4 возрастных категор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иях ( от 7 до 18 лет; от 19 до 35 лет; </w:t>
        <w:br/>
        <w:t xml:space="preserve">от 36 до 60 лет; старше 60 лет) на знание истории блокады и обороны Ленинграда, вклада Югры в Великую Победу, а также на знание военных произведений и творчества писателя-фронтовика, защитника Ленинграда </w:t>
        <w:br/>
        <w:t xml:space="preserve">Д.А. Гранина,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1.6. Организаторы информируют о проведении Викторины путём размещения информации на официальных сайтах Организаторов: </w:t>
      </w:r>
      <w:hyperlink r:id="rId12" w:tooltip="https://okrlib.ru," w:history="1">
        <w:r>
          <w:rPr>
            <w:rFonts w:ascii="Times New Roman" w:hAnsi="Times New Roman" w:eastAsia="Times New Roman" w:cs="Times New Roman"/>
            <w:b w:val="0"/>
            <w:bCs w:val="0"/>
            <w:i w:val="0"/>
            <w:iCs w:val="0"/>
            <w:color w:val="0563c1" w:themeColor="hyperlink"/>
            <w:sz w:val="28"/>
            <w:szCs w:val="28"/>
            <w:u w:val="none"/>
            <w:lang w:eastAsia="ru-RU"/>
          </w:rPr>
          <w:t xml:space="preserve">https://okrlib.ru,</w:t>
        </w:r>
      </w:hyperlink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 </w:t>
      </w:r>
      <w:hyperlink r:id="rId13" w:tooltip="https://cted.ru" w:history="1">
        <w:r>
          <w:rPr>
            <w:rFonts w:ascii="Times New Roman" w:hAnsi="Times New Roman" w:eastAsia="Times New Roman" w:cs="Times New Roman"/>
            <w:b w:val="0"/>
            <w:bCs w:val="0"/>
            <w:i w:val="0"/>
            <w:iCs w:val="0"/>
            <w:color w:val="0563c1" w:themeColor="hyperlink"/>
            <w:sz w:val="28"/>
            <w:szCs w:val="28"/>
            <w:u w:val="none"/>
            <w:lang w:eastAsia="ru-RU"/>
          </w:rPr>
          <w:t xml:space="preserve">https://cted.ru</w:t>
        </w:r>
      </w:hyperlink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,</w:t>
      </w:r>
      <w:r>
        <w:rPr>
          <w:b w:val="0"/>
          <w:bCs w:val="0"/>
          <w:i w:val="0"/>
          <w:iCs w:val="0"/>
          <w:u w:val="none"/>
        </w:rPr>
        <w:t xml:space="preserve"> </w:t>
      </w:r>
      <w:hyperlink r:id="rId14" w:tooltip="https://slib.ru" w:history="1">
        <w:r>
          <w:rPr>
            <w:rFonts w:ascii="Times New Roman" w:hAnsi="Times New Roman" w:eastAsia="Times New Roman" w:cs="Times New Roman"/>
            <w:b w:val="0"/>
            <w:bCs w:val="0"/>
            <w:i w:val="0"/>
            <w:iCs w:val="0"/>
            <w:color w:val="0563c1" w:themeColor="hyperlink"/>
            <w:sz w:val="28"/>
            <w:szCs w:val="28"/>
            <w:u w:val="none"/>
            <w:lang w:eastAsia="ru-RU"/>
          </w:rPr>
          <w:t xml:space="preserve">https://slib.ru</w:t>
        </w:r>
      </w:hyperlink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, на официальных сайтах Соорганизаторов </w:t>
        <w:br/>
        <w:t xml:space="preserve">и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Партнёров Конкурса, в СМИ Ханты-Мансийского автономного </w:t>
        <w:br/>
        <w:t xml:space="preserve">округа – Югры; в социальных сетях Организаторов, а также Соорганизаторов, Партнёров Викторины.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1.7. Организаторы Викторины вправе изменить условия Викторины за 5 (пять) календарных дней до момента вступления таких изменений в силу, путем размещения новой редакции Положения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на официальных сайтах Организаторов: </w:t>
      </w:r>
      <w:hyperlink r:id="rId15" w:tooltip="https://okrlib.ru," w:history="1">
        <w:r>
          <w:rPr>
            <w:rFonts w:ascii="Times New Roman" w:hAnsi="Times New Roman" w:eastAsia="Times New Roman" w:cs="Times New Roman"/>
            <w:b w:val="0"/>
            <w:bCs w:val="0"/>
            <w:i w:val="0"/>
            <w:iCs w:val="0"/>
            <w:color w:val="0563c1" w:themeColor="hyperlink"/>
            <w:sz w:val="28"/>
            <w:szCs w:val="28"/>
            <w:u w:val="none"/>
            <w:lang w:eastAsia="ru-RU"/>
          </w:rPr>
          <w:t xml:space="preserve">https://okrlib.ru,</w:t>
        </w:r>
      </w:hyperlink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 </w:t>
      </w:r>
      <w:hyperlink r:id="rId16" w:tooltip="https://cted.ru" w:history="1">
        <w:r>
          <w:rPr>
            <w:rFonts w:ascii="Times New Roman" w:hAnsi="Times New Roman" w:eastAsia="Times New Roman" w:cs="Times New Roman"/>
            <w:b w:val="0"/>
            <w:bCs w:val="0"/>
            <w:i w:val="0"/>
            <w:iCs w:val="0"/>
            <w:color w:val="0563c1" w:themeColor="hyperlink"/>
            <w:sz w:val="28"/>
            <w:szCs w:val="28"/>
            <w:u w:val="none"/>
            <w:lang w:eastAsia="ru-RU"/>
          </w:rPr>
          <w:t xml:space="preserve">https://cted.ru</w:t>
        </w:r>
      </w:hyperlink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 </w:t>
      </w:r>
      <w:hyperlink r:id="rId17" w:tooltip="https://slib.ru" w:history="1">
        <w:r>
          <w:rPr>
            <w:rFonts w:ascii="Times New Roman" w:hAnsi="Times New Roman" w:eastAsia="Times New Roman" w:cs="Times New Roman"/>
            <w:b w:val="0"/>
            <w:bCs w:val="0"/>
            <w:i w:val="0"/>
            <w:iCs w:val="0"/>
            <w:color w:val="0563c1" w:themeColor="hyperlink"/>
            <w:sz w:val="28"/>
            <w:szCs w:val="28"/>
            <w:u w:val="none"/>
            <w:lang w:eastAsia="ru-RU"/>
          </w:rPr>
          <w:t xml:space="preserve">https://slib.ru</w:t>
        </w:r>
      </w:hyperlink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 и Соорганизаторов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, также в их социальных сетях.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 w:val="0"/>
          <w:i w:val="0"/>
          <w:color w:val="222222"/>
          <w:sz w:val="28"/>
          <w:szCs w:val="28"/>
          <w:highlight w:val="none"/>
          <w:u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222222"/>
          <w:sz w:val="28"/>
          <w:szCs w:val="28"/>
          <w:u w:val="none"/>
          <w:lang w:eastAsia="ru-RU"/>
        </w:rPr>
        <w:t xml:space="preserve">Раздел 2. Участники, цели и задачи Викторины</w:t>
      </w:r>
      <w:r>
        <w:rPr>
          <w:b/>
          <w:bCs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222222"/>
          <w:sz w:val="28"/>
          <w:szCs w:val="28"/>
          <w:highlight w:val="none"/>
          <w:u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222222"/>
          <w:sz w:val="28"/>
          <w:szCs w:val="28"/>
          <w:highlight w:val="none"/>
          <w:u w:val="none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2.1 Викторина проводится среди жителей Ханты-Мансийского автономного округа – Югры в возрасте от 7 лет и старше. Участники: школьники, студенты, молодежь до 35 лет, представители среднего и «серебряного» возраста. 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2.2.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Целями Викторины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 являются:</w:t>
      </w:r>
      <w:r>
        <w:rPr>
          <w:b w:val="0"/>
          <w:bCs w:val="0"/>
          <w:i w:val="0"/>
          <w:iCs w:val="0"/>
          <w:u w:val="none"/>
        </w:rPr>
      </w:r>
    </w:p>
    <w:p>
      <w:pPr>
        <w:numPr>
          <w:ilvl w:val="0"/>
          <w:numId w:val="4"/>
        </w:numPr>
        <w:contextualSpacing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воспитание гражданственности и патриотизма посредством формирования у участников чувства сопричастности к истории России и Югры, повышения уровня знаний об обороне и блокаде Ленинграда, Победе в Великой Отечественной войне с учетом вклада Югры.</w:t>
      </w:r>
      <w:r>
        <w:rPr>
          <w:b w:val="0"/>
          <w:bCs w:val="0"/>
          <w:i w:val="0"/>
          <w:iCs w:val="0"/>
          <w:u w:val="none"/>
        </w:rPr>
      </w:r>
    </w:p>
    <w:p>
      <w:pPr>
        <w:numPr>
          <w:ilvl w:val="0"/>
          <w:numId w:val="4"/>
        </w:numPr>
        <w:contextualSpacing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 сохранение исторической памяти, популяризация истории героической борьбы советского народа с фашистскими захватчиками, патриотическое воспитание молодежи на основе творческого наследия писателя-фронтовика, защитника Ленинграда Даниила Гранина.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2.3.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Задачи Викторины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: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2.3.1. Повышение уровня знаний о блокаде и обороне Ленинграда и вкладе Югры в Великую Победу. 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2.3.2. Развитие и стимулирование интереса к творческому наследию </w:t>
        <w:br/>
        <w:t xml:space="preserve">писателя-фронтовика, защитника Ленинграда Д.А. Гранина, популяризация его военных произведений среди жителей ХМАО-Югры.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2.3.4. Содействие духовно-нравственному и патриотическому воспитанию, интеллектуальному и творческому развитию молодежи.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2.3.5. Освоение новых цифровых технологий для использования ресурсов литературного и культурного наследия; популяризация электронных ресурсов общедоступных библиотек, архивов и музеев Ханты-Мансийского автономного округа – Югры.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 w:val="0"/>
          <w:i w:val="0"/>
          <w:color w:val="222222"/>
          <w:sz w:val="28"/>
          <w:szCs w:val="28"/>
          <w:highlight w:val="none"/>
          <w:u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222222"/>
          <w:sz w:val="28"/>
          <w:szCs w:val="28"/>
          <w:u w:val="none"/>
          <w:lang w:eastAsia="ru-RU"/>
        </w:rPr>
        <w:t xml:space="preserve">Раздел 3.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222222"/>
          <w:sz w:val="28"/>
          <w:szCs w:val="28"/>
          <w:u w:val="none"/>
          <w:lang w:eastAsia="ru-RU"/>
        </w:rPr>
        <w:t xml:space="preserve">Организация и сроки проведения Викторины</w:t>
      </w:r>
      <w:r>
        <w:rPr>
          <w:b/>
          <w:bCs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222222"/>
          <w:sz w:val="28"/>
          <w:szCs w:val="28"/>
          <w:highlight w:val="none"/>
          <w:u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222222"/>
          <w:sz w:val="28"/>
          <w:szCs w:val="28"/>
          <w:highlight w:val="none"/>
          <w:u w:val="none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3.1. Викторина организуется и проводится в период с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14 февраля по 31 марта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 202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 года:</w:t>
      </w:r>
      <w:r>
        <w:rPr>
          <w:b w:val="0"/>
          <w:bCs w:val="0"/>
          <w:i w:val="0"/>
          <w:iCs w:val="0"/>
          <w:u w:val="none"/>
        </w:rPr>
      </w:r>
    </w:p>
    <w:p>
      <w:pPr>
        <w:numPr>
          <w:ilvl w:val="0"/>
          <w:numId w:val="2"/>
        </w:numPr>
        <w:contextualSpacing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1 этап (отборочный) с 14 февраля по 3 марта –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на муниципальном уровне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;</w:t>
      </w:r>
      <w:r>
        <w:rPr>
          <w:b w:val="0"/>
          <w:bCs w:val="0"/>
          <w:i w:val="0"/>
          <w:iCs w:val="0"/>
          <w:u w:val="none"/>
        </w:rPr>
      </w:r>
    </w:p>
    <w:p>
      <w:pPr>
        <w:numPr>
          <w:ilvl w:val="0"/>
          <w:numId w:val="2"/>
        </w:numPr>
        <w:contextualSpacing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подведение итогов муниципального этапа –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до 6 марта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;</w:t>
      </w:r>
      <w:r>
        <w:rPr>
          <w:b w:val="0"/>
          <w:bCs w:val="0"/>
          <w:i w:val="0"/>
          <w:iCs w:val="0"/>
          <w:u w:val="none"/>
        </w:rPr>
      </w:r>
    </w:p>
    <w:p>
      <w:pPr>
        <w:numPr>
          <w:ilvl w:val="0"/>
          <w:numId w:val="2"/>
        </w:numPr>
        <w:contextualSpacing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2 этап (финал) с 10 по 19 марта – на региональном уровне;</w:t>
      </w:r>
      <w:r>
        <w:rPr>
          <w:b w:val="0"/>
          <w:bCs w:val="0"/>
          <w:i w:val="0"/>
          <w:iCs w:val="0"/>
          <w:u w:val="none"/>
        </w:rPr>
      </w:r>
    </w:p>
    <w:p>
      <w:pPr>
        <w:numPr>
          <w:ilvl w:val="0"/>
          <w:numId w:val="2"/>
        </w:numPr>
        <w:contextualSpacing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подведение итогов регионального этапа с 20 по 31 марта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;</w:t>
      </w:r>
      <w:r>
        <w:rPr>
          <w:b w:val="0"/>
          <w:bCs w:val="0"/>
          <w:i w:val="0"/>
          <w:iCs w:val="0"/>
          <w:u w:val="none"/>
        </w:rPr>
      </w:r>
    </w:p>
    <w:p>
      <w:pPr>
        <w:numPr>
          <w:ilvl w:val="0"/>
          <w:numId w:val="2"/>
        </w:numPr>
        <w:contextualSpacing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публикация результатов Викторины и объявление победителей </w:t>
        <w:br/>
        <w:t xml:space="preserve">и призеров не позднее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1 мая 202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 года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Награждение победителей Викторины состоится не позднее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9 мая 202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 года.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3.2. Содействие организации и проведению Викторины в муниципальных образованиях Ханты-Мансийского автономного округа – Югры осуществляют 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тветственные лица от органов местного самоуправления </w:t>
        <w:br/>
        <w:t xml:space="preserve">Ханты-Мансийского автономного округа – Югры, осуществляющих управление </w:t>
        <w:br/>
        <w:t xml:space="preserve">в сфере образования и культуры, а также сотрудники муниципальных библиотек Ханты-Мансийского автономного округа – Югры 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3.3. Викторина на муниципальном этапе организуется в онлайн-режиме и находится в сети Интернет на сайте Государственной библиотеки Югры по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u w:val="none"/>
          <w:lang w:eastAsia="ru-RU"/>
        </w:rPr>
        <w:t xml:space="preserve">ссылке: </w:t>
      </w:r>
      <w:hyperlink r:id="rId18" w:tooltip="https://okrlib.ru/contests/10921" w:history="1">
        <w:r>
          <w:rPr>
            <w:rFonts w:ascii="Times New Roman" w:hAnsi="Times New Roman" w:eastAsia="Times New Roman" w:cs="Times New Roman"/>
            <w:b w:val="0"/>
            <w:bCs w:val="0"/>
            <w:i w:val="0"/>
            <w:iCs w:val="0"/>
            <w:color w:val="0563c1" w:themeColor="hyperlink"/>
            <w:sz w:val="28"/>
            <w:szCs w:val="28"/>
            <w:u w:val="none"/>
            <w:lang w:eastAsia="ru-RU"/>
          </w:rPr>
          <w:t xml:space="preserve">https://okrlib.ru/contests/10921</w:t>
        </w:r>
      </w:hyperlink>
      <w:r>
        <w:rPr>
          <w:b w:val="0"/>
          <w:bCs w:val="0"/>
          <w:i w:val="0"/>
          <w:iCs w:val="0"/>
          <w:u w:val="none"/>
        </w:rPr>
        <w:t xml:space="preserve">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u w:val="none"/>
          <w:lang w:eastAsia="ru-RU"/>
        </w:rPr>
        <w:t xml:space="preserve"> размещенной также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на сайтах организаторов, соорганизаторов и партнеров проекта "Эхо Ленинградской блокады. Память Югры".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3.4. Для оце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нки творческих работ в муниципальных образованиях создаются экспертные советы и Жюри муниципального этапа Викторины, состоящие </w:t>
        <w:br/>
        <w:t xml:space="preserve">из представителей культуры и образования, которое формируется на базе центральных библиотек муниципальных образований. Критерии ф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ормирования итоговой оценки качества работ муниципального этапа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представлены в разделе 6 настоящего Положения.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3.5.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u w:val="none"/>
          <w:lang w:eastAsia="ru-RU"/>
        </w:rPr>
        <w:t xml:space="preserve">Организаторы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ff0000"/>
          <w:sz w:val="28"/>
          <w:szCs w:val="28"/>
          <w:u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направляют Положение о Викторине в адрес центральных библиотек муниципальных образований Югры для проведения муниципального этапа Викторины с участием библиотек и школ муниципальных образований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u w:val="none"/>
          <w:lang w:eastAsia="ru-RU"/>
        </w:rPr>
        <w:t xml:space="preserve">3.6. Для участия в региональном этапе Викторины победители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u w:val="none"/>
          <w:lang w:eastAsia="ru-RU"/>
        </w:rPr>
        <w:t xml:space="preserve"> муниципального этапа готовят творческие работы в виде эссе по военным произведениям Д.А. Гранина из цикла «Молодая война» и «Мой лейтенант»., а также по вкладу Югры в защиту Ленинграда. Жюри регионального этапа определяет победителей и призеров Викторины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по четырём </w:t>
        <w:br/>
        <w:t xml:space="preserve">номинациям – возрастным категориям (от 7 до 18 лет; от 19 до 35 лет; от 36 до 60 лет; старше 60 лет). 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3.7. Организационный комитет по реализации проекта определ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яет порядок, форму проведения финала, утверждает список участников, состав жюри </w:t>
        <w:br/>
        <w:t xml:space="preserve">и механизм его работы, организует освещение итогов Викторины в средствах массовой информации, организует награждение участников муниципального и регионального этапов Викторины.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3.8. В состав Ор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ганизационного комитета входят представители Организаторов, Соорганизаторов, партнеров проекта, органов власти </w:t>
        <w:br/>
        <w:t xml:space="preserve">Ханты-Мансийского автономного округа – Югры, а также привлеченные эксперты в области литературы, писатели, исследователи творчества </w:t>
        <w:br/>
        <w:t xml:space="preserve">Д.А. Гранина.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3.9. Данные победителей и призёров муниципального этапа Викторины, занявших первое, второе и третье места (далее призёры), направляются </w:t>
        <w:br/>
        <w:t xml:space="preserve">в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Организационный комитет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 проекта.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3.10. Для участия в региональном этапе Викторины победителям и призёрам муниципального этапа Викторины необходимо подготовить творческую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работу в виде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u w:val="none"/>
          <w:lang w:eastAsia="ru-RU"/>
        </w:rPr>
        <w:t xml:space="preserve">эссе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ff0000"/>
          <w:sz w:val="28"/>
          <w:szCs w:val="28"/>
          <w:u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с ответами на два вопроса из произведений «Мой лейтенант» или цикла «Молодая война»: 1) Какие факты биографии писателя отражены в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 произведении? По вкладу Югры в Победу в Великой Отечественной войне. 2) Роль югорчан в помощи блокадному Ленинграду. Каких блокадников или защитников Ленинграда из Югры Вы знаете? Приведите пример их биографии, связанной с блокадой или защитой Ленинграда.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Критерии ф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ормирования итоговой оценки качества творческих работ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представлены в разделе 6 Положения.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3.11. Эссе направляются победителями муниципального этапа в адрес Государственной библиотеки Югры с пометкой «Викторина» по электронной почте: </w:t>
      </w:r>
      <w:hyperlink r:id="rId19" w:tooltip="mailto:rcd@okrlib.ru" w:history="1">
        <w:r>
          <w:rPr>
            <w:rFonts w:ascii="Times New Roman" w:hAnsi="Times New Roman" w:eastAsia="Times New Roman" w:cs="Times New Roman"/>
            <w:b w:val="0"/>
            <w:bCs w:val="0"/>
            <w:i w:val="0"/>
            <w:iCs w:val="0"/>
            <w:color w:val="0563c1" w:themeColor="hyperlink"/>
            <w:sz w:val="28"/>
            <w:szCs w:val="28"/>
            <w:u w:val="none"/>
            <w:lang w:eastAsia="ru-RU"/>
          </w:rPr>
          <w:t xml:space="preserve">rcd@okrlib.ru</w:t>
        </w:r>
      </w:hyperlink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 для регионального Жюри, которое проводит оценку работ на основе полученных ответов по пятибалльной системе.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 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afterAutospacing="0" w:line="240" w:lineRule="auto"/>
        <w:shd w:val="clear" w:color="auto" w:fill="ffffff"/>
        <w:rPr>
          <w:rFonts w:ascii="Times New Roman" w:hAnsi="Times New Roman" w:eastAsia="Times New Roman" w:cs="Times New Roman"/>
          <w:b/>
          <w:bCs w:val="0"/>
          <w:i w:val="0"/>
          <w:color w:val="222222"/>
          <w:sz w:val="28"/>
          <w:szCs w:val="28"/>
          <w:highlight w:val="none"/>
          <w:u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222222"/>
          <w:sz w:val="28"/>
          <w:szCs w:val="28"/>
          <w:u w:val="none"/>
          <w:lang w:eastAsia="ru-RU"/>
        </w:rPr>
        <w:t xml:space="preserve">Раздел 4. Условия участия в муниципальном (отборочном) этапе Викторины</w:t>
      </w:r>
      <w:r>
        <w:rPr>
          <w:b/>
          <w:bCs/>
          <w:i w:val="0"/>
          <w:iCs w:val="0"/>
          <w:u w:val="none"/>
        </w:rPr>
      </w:r>
    </w:p>
    <w:p>
      <w:pPr>
        <w:jc w:val="both"/>
        <w:spacing w:after="0" w:afterAutospacing="0" w:line="240" w:lineRule="auto"/>
        <w:shd w:val="clear" w:color="auto" w:fill="ffffff"/>
        <w:rPr>
          <w:rFonts w:ascii="Times New Roman" w:hAnsi="Times New Roman" w:eastAsia="Times New Roman" w:cs="Times New Roman"/>
          <w:b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222222"/>
          <w:sz w:val="28"/>
          <w:szCs w:val="28"/>
          <w:highlight w:val="none"/>
          <w:u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222222"/>
          <w:sz w:val="28"/>
          <w:szCs w:val="28"/>
          <w:highlight w:val="none"/>
          <w:u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4.1.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u w:val="none"/>
          <w:lang w:eastAsia="ru-RU"/>
        </w:rPr>
        <w:t xml:space="preserve">На муниципальном этапе участникам Викторины необходим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u w:val="none"/>
          <w:lang w:eastAsia="ru-RU"/>
        </w:rPr>
        <w:t xml:space="preserve">о на странице Викторины заполнить свои данные: фамилию, имя, отчество, телефон, адрес электронной почты, муниципальное образование, населенный пункт проживания, возраст, автоматически подтверждая свое согласие </w:t>
        <w:br/>
        <w:t xml:space="preserve">на размещение и обработку персональных данных.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u w:val="none"/>
          <w:lang w:eastAsia="ru-RU"/>
        </w:rPr>
        <w:t xml:space="preserve">4.2. Участникам необходимо выбрать правильный вариант ответа на каждый из представленных вопросов по истории блокады и обороны Ленинграда, </w:t>
        <w:br/>
        <w:t xml:space="preserve">о вкладе Югры в Великую Победу и творчеству Д.А. Гранина 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u w:val="none"/>
          <w:lang w:eastAsia="ru-RU"/>
        </w:rPr>
        <w:t xml:space="preserve">4.3. К ка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u w:val="none"/>
          <w:lang w:eastAsia="ru-RU"/>
        </w:rPr>
        <w:t xml:space="preserve">ждому ответу участник должен дать комментарий в специальном поле. В комментарии необходимо указать сведения из источника либо аргументы, которыми руководствовался участник при выборе данного ответа. За наличие комментария начисляются дополнительные баллы.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u w:val="none"/>
          <w:lang w:eastAsia="ru-RU"/>
        </w:rPr>
        <w:t xml:space="preserve">Формирование оценки качества комментариев к вопросам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u w:val="none"/>
          <w:lang w:eastAsia="ru-RU"/>
        </w:rPr>
        <w:t xml:space="preserve">представлено в разделе </w:t>
        <w:br/>
        <w:t xml:space="preserve">6 Положения.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u w:val="none"/>
          <w:lang w:eastAsia="ru-RU"/>
        </w:rPr>
        <w:t xml:space="preserve">4.4. Участник может заполнить Викторину только один раз. Если участник отвечает на вопросы Викторины два и более раза, засчитывается только первый результат. 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u w:val="none"/>
          <w:lang w:eastAsia="ru-RU"/>
        </w:rPr>
        <w:t xml:space="preserve">4.5. Если Участник не ответил на все вопросы Викторины, данные </w:t>
        <w:br/>
        <w:t xml:space="preserve">о ее прохождении не сохраняются, и пользователь не засчитывается </w:t>
        <w:br/>
        <w:t xml:space="preserve">как участник. 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highlight w:val="none"/>
          <w:u w:val="none"/>
          <w:lang w:eastAsia="ru-RU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 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highlight w:val="none"/>
          <w:u w:val="none"/>
          <w:lang w:eastAsia="ru-RU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highlight w:val="none"/>
          <w:u w:val="none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 w:val="0"/>
          <w:i w:val="0"/>
          <w:color w:val="222222"/>
          <w:sz w:val="28"/>
          <w:szCs w:val="28"/>
          <w:highlight w:val="none"/>
          <w:u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222222"/>
          <w:sz w:val="28"/>
          <w:szCs w:val="28"/>
          <w:u w:val="none"/>
          <w:lang w:eastAsia="ru-RU"/>
        </w:rPr>
        <w:t xml:space="preserve">Раздел 5. Порядок выдвижения участников на региональный этап Викторины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222222"/>
          <w:sz w:val="28"/>
          <w:szCs w:val="28"/>
          <w:highlight w:val="none"/>
          <w:u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222222"/>
          <w:sz w:val="28"/>
          <w:szCs w:val="28"/>
          <w:highlight w:val="none"/>
          <w:u w:val="none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5.1. Экспертные советы МО при Центрах общественного доступа общедоступных библиотек Ханты-Мансийского автономного округа – Югры в срок до 6 марта 202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 года направляют в адрес Орган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изационного комитета данные победителей и призёров муниципального этапа Викторины для передачи в Жюри муниципального этапа Викторины. А также направляют информацию победителям и призерам муниципального этапа о прохождении их на региональный этап Викторины.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5.3. Победителям и призёрам муниципального этапа Викторины для участия в региональном этапе необходимо подготовить творческую работу – эссе </w:t>
        <w:br/>
        <w:t xml:space="preserve">по двум вопросам Викторины.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5.4. Требования к творческим работам: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5.4.1. Творческая работа - эссе - должна содержать ответы на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 вопросы Викторины по истории блокады и обороны Ленинграда, о вкладе Югры </w:t>
        <w:br/>
        <w:t xml:space="preserve">в Великую Победу, а также по произведениям Д.А. Гранина «Мой лейтенант» и из цикла «Молодая война». При этом можно использовать электронное издание Собрания сочинений Д. А. Гранина,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u w:val="none"/>
          <w:lang w:eastAsia="ru-RU"/>
        </w:rPr>
        <w:t xml:space="preserve">выпущенное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 при поддержке Ханты-Мансийского автономного округа – Югры, которое доступно </w:t>
        <w:br/>
        <w:t xml:space="preserve">в Центрах общественного доступа муниципальных библиотек.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5.4.2. Объем текста творческой работы не должен превышать 7000 знаков </w:t>
        <w:br/>
        <w:t xml:space="preserve">с пробелами.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5.4.3. Принимается творческая работа в цифровом формате в текстовом редакторе Word, размер шрифта 14, межстрочный интервал 1,5.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5.4.4. Не принимаются:</w:t>
      </w:r>
      <w:r>
        <w:rPr>
          <w:b w:val="0"/>
          <w:bCs w:val="0"/>
          <w:i w:val="0"/>
          <w:iCs w:val="0"/>
          <w:u w:val="none"/>
        </w:rPr>
      </w:r>
    </w:p>
    <w:p>
      <w:pPr>
        <w:numPr>
          <w:ilvl w:val="0"/>
          <w:numId w:val="5"/>
        </w:numPr>
        <w:contextualSpacing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творческие работы, которые не соответствуют требованиям п. 5.4.2 </w:t>
        <w:br/>
        <w:t xml:space="preserve">и п. 5.4.3;</w:t>
      </w:r>
      <w:r>
        <w:rPr>
          <w:b w:val="0"/>
          <w:bCs w:val="0"/>
          <w:i w:val="0"/>
          <w:iCs w:val="0"/>
          <w:u w:val="none"/>
        </w:rPr>
      </w:r>
    </w:p>
    <w:p>
      <w:pPr>
        <w:numPr>
          <w:ilvl w:val="0"/>
          <w:numId w:val="5"/>
        </w:numPr>
        <w:contextualSpacing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творческие работы, в которых ответы представлены не на два вопроса.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Организационный комитет оставляет за собой право не разъяснять причины такого решения.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5.4.5. Творческие работы, присланные для участия в Викторине, </w:t>
        <w:br/>
        <w:t xml:space="preserve">не рецензируются, не возвращаются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 w:val="0"/>
          <w:i w:val="0"/>
          <w:color w:val="222222"/>
          <w:sz w:val="28"/>
          <w:szCs w:val="28"/>
          <w:highlight w:val="none"/>
          <w:u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222222"/>
          <w:sz w:val="28"/>
          <w:szCs w:val="28"/>
          <w:u w:val="none"/>
          <w:lang w:eastAsia="ru-RU"/>
        </w:rPr>
        <w:t xml:space="preserve">Раздел 6.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222222"/>
          <w:sz w:val="28"/>
          <w:szCs w:val="28"/>
          <w:u w:val="none"/>
          <w:lang w:eastAsia="ru-RU"/>
        </w:rPr>
        <w:t xml:space="preserve">Порядок проведения регионального этапа Викторины</w:t>
      </w:r>
      <w:r>
        <w:rPr>
          <w:b/>
          <w:bCs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222222"/>
          <w:sz w:val="28"/>
          <w:szCs w:val="28"/>
          <w:highlight w:val="none"/>
          <w:u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222222"/>
          <w:sz w:val="28"/>
          <w:szCs w:val="28"/>
          <w:highlight w:val="none"/>
          <w:u w:val="none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6.1. Оценку творческих работ осуществляет региональное Жюри Викторины.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6.2.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u w:val="none"/>
          <w:lang w:eastAsia="ru-RU"/>
        </w:rPr>
        <w:t xml:space="preserve">Состав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4472c4" w:themeColor="accent5"/>
          <w:sz w:val="28"/>
          <w:szCs w:val="28"/>
          <w:u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Жюри Викторины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u w:val="none"/>
          <w:lang w:eastAsia="ru-RU"/>
        </w:rPr>
        <w:t xml:space="preserve">состоит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из 7 человек. В состав Жюри входят эксперты в области литературы и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u w:val="none"/>
          <w:lang w:eastAsia="ru-RU"/>
        </w:rPr>
        <w:t xml:space="preserve">культуры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. Председатель избирается </w:t>
        <w:br/>
        <w:t xml:space="preserve">из членов Жюри.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.3. Жюри Викторины проводит экспертную оценку творческих работ </w:t>
        <w:br/>
        <w:t xml:space="preserve">в соответствии с критериями и определяет победителя и призёров </w:t>
        <w:br/>
        <w:t xml:space="preserve">(2-е, 3-е место) по трём номинациям – в 4 возрастных категориях </w:t>
        <w:br/>
        <w:t xml:space="preserve">(от 7 до 18 лет; от 19 до 35 лет; от 36 до 60 лет; старше 60 лет) 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Решение Жюри оформляется протоколом и утверждается Председателем Жюри.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6.4. Жюри имеет право:</w:t>
      </w:r>
      <w:r>
        <w:rPr>
          <w:b w:val="0"/>
          <w:bCs w:val="0"/>
          <w:i w:val="0"/>
          <w:iCs w:val="0"/>
          <w:u w:val="none"/>
        </w:rPr>
      </w:r>
    </w:p>
    <w:p>
      <w:pPr>
        <w:numPr>
          <w:ilvl w:val="0"/>
          <w:numId w:val="6"/>
        </w:numPr>
        <w:contextualSpacing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не присуждать призовые места;</w:t>
      </w:r>
      <w:r>
        <w:rPr>
          <w:b w:val="0"/>
          <w:bCs w:val="0"/>
          <w:i w:val="0"/>
          <w:iCs w:val="0"/>
          <w:u w:val="none"/>
        </w:rPr>
      </w:r>
    </w:p>
    <w:p>
      <w:pPr>
        <w:numPr>
          <w:ilvl w:val="0"/>
          <w:numId w:val="6"/>
        </w:numPr>
        <w:contextualSpacing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утверждать дополнительные номинации и призовые места.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6.5. Определение победителя и призеров Викторины происходит следующим образом: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6.5.1. Члены жюри оценивают каждую творческую работу по пятибалльной шкале, по каждому критерию и формируют итоговую оценку в соответствии с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u w:val="none"/>
          <w:lang w:eastAsia="ru-RU"/>
        </w:rPr>
        <w:t xml:space="preserve">п.7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настоящего Положения. 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6.5.2. В протоколе Жюри фиксируется оценка каждой творческой работы, указываются победители и призёры Викторины.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6.5.3. Публикация результатов Викторины и объявление победителей и призеров осуществляется региональным Организационным комитетом </w:t>
        <w:br/>
        <w:t xml:space="preserve">не позднее 1 мая 202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 года на официальных сайтах Центра технологий электронной демократии </w:t>
      </w:r>
      <w:hyperlink r:id="rId20" w:tooltip="http://cted.ru" w:history="1">
        <w:r>
          <w:rPr>
            <w:rFonts w:ascii="Times New Roman" w:hAnsi="Times New Roman" w:eastAsia="Times New Roman" w:cs="Times New Roman"/>
            <w:b w:val="0"/>
            <w:bCs w:val="0"/>
            <w:i w:val="0"/>
            <w:iCs w:val="0"/>
            <w:color w:val="0563c1" w:themeColor="hyperlink"/>
            <w:sz w:val="28"/>
            <w:szCs w:val="28"/>
            <w:u w:val="none"/>
            <w:lang w:eastAsia="ru-RU"/>
          </w:rPr>
          <w:t xml:space="preserve">http://cted.ru</w:t>
        </w:r>
      </w:hyperlink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; Государственной библиотеки Югры </w:t>
      </w:r>
      <w:hyperlink r:id="rId21" w:tooltip="http://okrlib.ru" w:history="1">
        <w:r>
          <w:rPr>
            <w:rFonts w:ascii="Times New Roman" w:hAnsi="Times New Roman" w:eastAsia="Times New Roman" w:cs="Times New Roman"/>
            <w:b w:val="0"/>
            <w:bCs w:val="0"/>
            <w:i w:val="0"/>
            <w:iCs w:val="0"/>
            <w:color w:val="0563c1" w:themeColor="hyperlink"/>
            <w:sz w:val="28"/>
            <w:szCs w:val="28"/>
            <w:u w:val="none"/>
            <w:lang w:eastAsia="ru-RU"/>
          </w:rPr>
          <w:t xml:space="preserve">http://okrlib.ru</w:t>
        </w:r>
      </w:hyperlink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u w:val="none"/>
          <w:lang w:eastAsia="ru-RU"/>
        </w:rPr>
        <w:t xml:space="preserve">МБУК «Централизованная библиотечная система» г. Сургута </w:t>
      </w:r>
      <w:hyperlink r:id="rId22" w:tooltip="http://slib.ru" w:history="1">
        <w:r>
          <w:rPr>
            <w:rFonts w:ascii="Times New Roman" w:hAnsi="Times New Roman" w:cs="Times New Roman"/>
            <w:b w:val="0"/>
            <w:bCs w:val="0"/>
            <w:i w:val="0"/>
            <w:iCs w:val="0"/>
            <w:color w:val="0563c1" w:themeColor="hyperlink"/>
            <w:sz w:val="28"/>
            <w:szCs w:val="28"/>
            <w:u w:val="none"/>
          </w:rPr>
          <w:t xml:space="preserve">http://slib.ru</w:t>
        </w:r>
      </w:hyperlink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u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u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и других ресурсах.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6.6. Организаторам предоставляется право на использование творческих работ участников Викторины в целях популяризации книги и чтения.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 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222222"/>
          <w:sz w:val="28"/>
          <w:szCs w:val="28"/>
          <w:u w:val="none"/>
          <w:lang w:eastAsia="ru-RU"/>
        </w:rPr>
        <w:t xml:space="preserve">Раздел 7.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222222"/>
          <w:sz w:val="28"/>
          <w:szCs w:val="28"/>
          <w:u w:val="none"/>
          <w:lang w:eastAsia="ru-RU"/>
        </w:rPr>
        <w:t xml:space="preserve">Формирование итоговой оценки качества творческих работ</w:t>
      </w:r>
      <w:r>
        <w:rPr>
          <w:b/>
          <w:bCs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7.1. За каждый правильный ответ на вопрос в отборочном этапе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u w:val="none"/>
          <w:lang w:eastAsia="ru-RU"/>
        </w:rPr>
        <w:t xml:space="preserve">начисляется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5 баллов.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7.2. За комментарий к ответу присваивается до 5 баллов в соответствии </w:t>
        <w:br/>
        <w:t xml:space="preserve">со следующими критериями:</w:t>
      </w:r>
      <w:r>
        <w:rPr>
          <w:b w:val="0"/>
          <w:bCs w:val="0"/>
          <w:i w:val="0"/>
          <w:iCs w:val="0"/>
          <w:u w:val="none"/>
        </w:rPr>
      </w:r>
    </w:p>
    <w:p>
      <w:pPr>
        <w:numPr>
          <w:ilvl w:val="0"/>
          <w:numId w:val="3"/>
        </w:numPr>
        <w:contextualSpacing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содержательное соответствие ответа поставленному вопросу;</w:t>
      </w:r>
      <w:r>
        <w:rPr>
          <w:b w:val="0"/>
          <w:bCs w:val="0"/>
          <w:i w:val="0"/>
          <w:iCs w:val="0"/>
          <w:u w:val="none"/>
        </w:rPr>
      </w:r>
    </w:p>
    <w:p>
      <w:pPr>
        <w:numPr>
          <w:ilvl w:val="0"/>
          <w:numId w:val="3"/>
        </w:numPr>
        <w:contextualSpacing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правильное изложение фактических данных;</w:t>
      </w:r>
      <w:r>
        <w:rPr>
          <w:b w:val="0"/>
          <w:bCs w:val="0"/>
          <w:i w:val="0"/>
          <w:iCs w:val="0"/>
          <w:u w:val="none"/>
        </w:rPr>
      </w:r>
    </w:p>
    <w:p>
      <w:pPr>
        <w:numPr>
          <w:ilvl w:val="0"/>
          <w:numId w:val="3"/>
        </w:numPr>
        <w:contextualSpacing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соблюдение языковых норм, литературного стиля;</w:t>
      </w:r>
      <w:r>
        <w:rPr>
          <w:b w:val="0"/>
          <w:bCs w:val="0"/>
          <w:i w:val="0"/>
          <w:iCs w:val="0"/>
          <w:u w:val="none"/>
        </w:rPr>
      </w:r>
    </w:p>
    <w:p>
      <w:pPr>
        <w:numPr>
          <w:ilvl w:val="0"/>
          <w:numId w:val="3"/>
        </w:numPr>
        <w:contextualSpacing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соответствие выбора цитат поставленному вопросу;</w:t>
      </w:r>
      <w:r>
        <w:rPr>
          <w:b w:val="0"/>
          <w:bCs w:val="0"/>
          <w:i w:val="0"/>
          <w:iCs w:val="0"/>
          <w:u w:val="none"/>
        </w:rPr>
      </w:r>
    </w:p>
    <w:p>
      <w:pPr>
        <w:numPr>
          <w:ilvl w:val="0"/>
          <w:numId w:val="3"/>
        </w:numPr>
        <w:contextualSpacing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оригинальность/уникальность текста раб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оты.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7.3. Результаты отборочного этапа определяются суммированием баллов </w:t>
        <w:br/>
        <w:t xml:space="preserve">за ответы на вопросы (формируются автоматически) и баллов за комментарии, (присваиваются на основании решения жюри).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7.4. Ответ на вопросы Викторины регионального этапа должен содержать: наименование произведения, описание фрагмента с указанием действующих лиц, основную, по мнению участника, для данного вопроса цитату. 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7.5. Для оценки качества итоговых работ применяется формализованный метод экспертных оценок (балльный метод), в основу кот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орого закладывается мнение специалиста (эксперта) о количественной оценке качественных признаков работы, выбранных как критерии оценки. Оценка, основанная на профессиональном, научном и практическом опыте, устанавливается </w:t>
        <w:br/>
        <w:t xml:space="preserve">в пределах принятой шкалы баллов 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ff0000"/>
          <w:sz w:val="28"/>
          <w:szCs w:val="28"/>
          <w:u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выражается «относительными понятиями предпочтений». При этом учитывается мнение каждого члена Жюри, а полученный итоговый результат усредняется.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7.6. Количественный балл каждого критерия определяется с учётом градационной шкалы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в пределах значений (1-5) с 3-х уровневой градацией </w:t>
        <w:br/>
        <w:t xml:space="preserve">5, 3, 1, где: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5 – высокий уровень реализации конкретного критерия: полное соответствие или по большинству требований;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3 – удовлетворительный уровень: соответствие по части требований;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1 – низкий уровень: несоответствие или значительное несоответствие требованиям.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7.7. Каждый член Жюри самостоятельно оценивает присланные творческие работы по заранее принятым критериям.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Полученные оценки семи членов Жюри обрабатываются путем вычисления среднего арифметического.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 w:val="0"/>
          <w:i w:val="0"/>
          <w:color w:val="222222"/>
          <w:sz w:val="28"/>
          <w:szCs w:val="28"/>
          <w:highlight w:val="none"/>
          <w:u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222222"/>
          <w:sz w:val="28"/>
          <w:szCs w:val="28"/>
          <w:u w:val="none"/>
          <w:lang w:eastAsia="ru-RU"/>
        </w:rPr>
        <w:t xml:space="preserve">Раздел 8. Награждение участников Викторины.</w:t>
      </w:r>
      <w:r>
        <w:rPr>
          <w:b/>
          <w:bCs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222222"/>
          <w:sz w:val="28"/>
          <w:szCs w:val="28"/>
          <w:highlight w:val="none"/>
          <w:u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222222"/>
          <w:sz w:val="28"/>
          <w:szCs w:val="28"/>
          <w:highlight w:val="none"/>
          <w:u w:val="none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8.1. Участники Викторины, занявшие 1, 2, 3 места на муниципальном этапе Викторины в четырёх номинациях награждаются соответствующими дипломами и призами, остальные участники – дипломами участников муниципального этапа. Дипломы участникам Викторины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u w:val="none"/>
          <w:lang w:eastAsia="ru-RU"/>
        </w:rPr>
        <w:t xml:space="preserve">отправляются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ff00ff"/>
          <w:sz w:val="28"/>
          <w:szCs w:val="28"/>
          <w:u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br/>
        <w:t xml:space="preserve">в электронном виде центральными муниципальными библиотеками. 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8.2. Победителями Викторины считаются три участника, 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абравшие наибольшее количество баллов по итогам регионального этапа Викторины </w:t>
        <w:br/>
        <w:t xml:space="preserve">в каждой из 4-х возрастных категориях. Они награждаются соответствующими дипломами и призами. Остальные участники регионального этапа награждаются дипломами участников Викторины.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8.3. Награждение победителей и призёров Викторины будет проводиться </w:t>
        <w:br/>
        <w:t xml:space="preserve">не позднее 9 мая 2024 года в муниципальных библиотеках по их месту жительства.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8.4. Муниципальные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u w:val="none"/>
          <w:lang w:eastAsia="ru-RU"/>
        </w:rPr>
        <w:t xml:space="preserve">общедоступные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ff0000"/>
          <w:sz w:val="28"/>
          <w:szCs w:val="28"/>
          <w:u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библиотеки и Центры общественного доступа, обеспечившие участие в Викторине наибольшего числа жителей муниципального образования, награждаются дипломами 1, 2 и 3 степени.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 w:val="0"/>
          <w:i w:val="0"/>
          <w:color w:val="222222"/>
          <w:sz w:val="28"/>
          <w:szCs w:val="28"/>
          <w:highlight w:val="none"/>
          <w:u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222222"/>
          <w:sz w:val="28"/>
          <w:szCs w:val="28"/>
          <w:u w:val="none"/>
          <w:lang w:eastAsia="ru-RU"/>
        </w:rPr>
        <w:t xml:space="preserve">Раздел 9. Финансирование Викторины</w:t>
      </w:r>
      <w:r>
        <w:rPr>
          <w:b w:val="0"/>
          <w:bCs w:val="0"/>
          <w:i w:val="0"/>
          <w:iCs w:val="0"/>
          <w:u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222222"/>
          <w:sz w:val="28"/>
          <w:szCs w:val="28"/>
          <w:highlight w:val="none"/>
          <w:u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222222"/>
          <w:sz w:val="28"/>
          <w:szCs w:val="28"/>
          <w:highlight w:val="none"/>
          <w:u w:val="none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color w:val="222222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22222"/>
          <w:sz w:val="28"/>
          <w:szCs w:val="28"/>
          <w:u w:val="none"/>
          <w:lang w:eastAsia="ru-RU"/>
        </w:rPr>
        <w:t xml:space="preserve">9.1. Финансирование общей организации и координации проведения Викторины осуществляется АНО «Центр технологий электронной демократии» за счет средств Гранта губернатора Ханты-Мансийского автономного округа – Югры.</w:t>
      </w:r>
      <w:r>
        <w:rPr>
          <w:b w:val="0"/>
          <w:bCs w:val="0"/>
          <w:i w:val="0"/>
          <w:iCs w:val="0"/>
          <w:u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 w:eastAsiaTheme="minorHAnsi"/>
      </w:rPr>
    </w:lvl>
    <w:lvl w:ilvl="1">
      <w:start w:val="1"/>
      <w:numFmt w:val="decimal"/>
      <w:isLgl/>
      <w:suff w:val="tab"/>
      <w:lvlText w:val="%1.%2."/>
      <w:lvlJc w:val="left"/>
      <w:pPr>
        <w:ind w:left="1215" w:hanging="495"/>
      </w:pPr>
      <w:rPr>
        <w:rFonts w:hint="default"/>
        <w:sz w:val="28"/>
        <w:szCs w:val="28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1"/>
    <w:next w:val="61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1"/>
    <w:next w:val="61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1"/>
    <w:next w:val="61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1"/>
    <w:next w:val="61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1"/>
    <w:next w:val="61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1"/>
    <w:next w:val="61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1"/>
    <w:next w:val="61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1"/>
    <w:next w:val="61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1"/>
    <w:next w:val="61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1"/>
    <w:next w:val="61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2"/>
    <w:link w:val="34"/>
    <w:uiPriority w:val="10"/>
    <w:rPr>
      <w:sz w:val="48"/>
      <w:szCs w:val="48"/>
    </w:rPr>
  </w:style>
  <w:style w:type="paragraph" w:styleId="36">
    <w:name w:val="Subtitle"/>
    <w:basedOn w:val="611"/>
    <w:next w:val="61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2"/>
    <w:link w:val="36"/>
    <w:uiPriority w:val="11"/>
    <w:rPr>
      <w:sz w:val="24"/>
      <w:szCs w:val="24"/>
    </w:rPr>
  </w:style>
  <w:style w:type="paragraph" w:styleId="38">
    <w:name w:val="Quote"/>
    <w:basedOn w:val="611"/>
    <w:next w:val="61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1"/>
    <w:next w:val="61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2"/>
    <w:link w:val="42"/>
    <w:uiPriority w:val="99"/>
  </w:style>
  <w:style w:type="paragraph" w:styleId="44">
    <w:name w:val="Footer"/>
    <w:basedOn w:val="61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2"/>
    <w:link w:val="44"/>
    <w:uiPriority w:val="99"/>
  </w:style>
  <w:style w:type="paragraph" w:styleId="46">
    <w:name w:val="Caption"/>
    <w:basedOn w:val="611"/>
    <w:next w:val="6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2"/>
    <w:uiPriority w:val="99"/>
    <w:unhideWhenUsed/>
    <w:rPr>
      <w:vertAlign w:val="superscript"/>
    </w:rPr>
  </w:style>
  <w:style w:type="paragraph" w:styleId="178">
    <w:name w:val="endnote text"/>
    <w:basedOn w:val="61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2"/>
    <w:uiPriority w:val="99"/>
    <w:semiHidden/>
    <w:unhideWhenUsed/>
    <w:rPr>
      <w:vertAlign w:val="superscript"/>
    </w:rPr>
  </w:style>
  <w:style w:type="paragraph" w:styleId="181">
    <w:name w:val="toc 1"/>
    <w:basedOn w:val="611"/>
    <w:next w:val="61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1"/>
    <w:next w:val="61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1"/>
    <w:next w:val="61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1"/>
    <w:next w:val="61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1"/>
    <w:next w:val="61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1"/>
    <w:next w:val="61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1"/>
    <w:next w:val="61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1"/>
    <w:next w:val="61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1"/>
    <w:next w:val="61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1"/>
    <w:next w:val="611"/>
    <w:uiPriority w:val="99"/>
    <w:unhideWhenUsed/>
    <w:pPr>
      <w:spacing w:after="0" w:afterAutospacing="0"/>
    </w:pPr>
  </w:style>
  <w:style w:type="paragraph" w:styleId="611" w:default="1">
    <w:name w:val="Normal"/>
    <w:qFormat/>
  </w:style>
  <w:style w:type="character" w:styleId="612" w:default="1">
    <w:name w:val="Default Paragraph Font"/>
    <w:uiPriority w:val="1"/>
    <w:unhideWhenUsed/>
  </w:style>
  <w:style w:type="table" w:styleId="61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4" w:default="1">
    <w:name w:val="No List"/>
    <w:uiPriority w:val="99"/>
    <w:semiHidden/>
    <w:unhideWhenUsed/>
  </w:style>
  <w:style w:type="paragraph" w:styleId="615">
    <w:name w:val="List Paragraph"/>
    <w:basedOn w:val="611"/>
    <w:uiPriority w:val="34"/>
    <w:qFormat/>
    <w:pPr>
      <w:contextualSpacing/>
      <w:ind w:left="720"/>
    </w:pPr>
  </w:style>
  <w:style w:type="paragraph" w:styleId="616">
    <w:name w:val="Normal (Web)"/>
    <w:basedOn w:val="611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17">
    <w:name w:val="Hyperlink"/>
    <w:basedOn w:val="612"/>
    <w:uiPriority w:val="99"/>
    <w:unhideWhenUsed/>
    <w:rPr>
      <w:color w:val="0000ff"/>
      <w:u w:val="single"/>
    </w:rPr>
  </w:style>
  <w:style w:type="character" w:styleId="618">
    <w:name w:val="Unresolved Mention"/>
    <w:basedOn w:val="612"/>
    <w:uiPriority w:val="99"/>
    <w:semiHidden/>
    <w:unhideWhenUsed/>
    <w:rPr>
      <w:color w:val="605e5c"/>
      <w:shd w:val="clear" w:color="auto" w:fill="e1dfdd"/>
    </w:rPr>
  </w:style>
  <w:style w:type="paragraph" w:styleId="619">
    <w:name w:val="Revision"/>
    <w:hidden/>
    <w:uiPriority w:val="99"/>
    <w:semiHidden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okrlib.ru/news/760" TargetMode="External"/><Relationship Id="rId11" Type="http://schemas.openxmlformats.org/officeDocument/2006/relationships/hyperlink" Target="https://cted.ru" TargetMode="External"/><Relationship Id="rId12" Type="http://schemas.openxmlformats.org/officeDocument/2006/relationships/hyperlink" Target="https://okrlib.ru," TargetMode="External"/><Relationship Id="rId13" Type="http://schemas.openxmlformats.org/officeDocument/2006/relationships/hyperlink" Target="https://cted.ru" TargetMode="External"/><Relationship Id="rId14" Type="http://schemas.openxmlformats.org/officeDocument/2006/relationships/hyperlink" Target="https://slib.ru" TargetMode="External"/><Relationship Id="rId15" Type="http://schemas.openxmlformats.org/officeDocument/2006/relationships/hyperlink" Target="https://okrlib.ru," TargetMode="External"/><Relationship Id="rId16" Type="http://schemas.openxmlformats.org/officeDocument/2006/relationships/hyperlink" Target="https://cted.ru" TargetMode="External"/><Relationship Id="rId17" Type="http://schemas.openxmlformats.org/officeDocument/2006/relationships/hyperlink" Target="https://slib.ru" TargetMode="External"/><Relationship Id="rId18" Type="http://schemas.openxmlformats.org/officeDocument/2006/relationships/hyperlink" Target="https://okrlib.ru/contests/10921" TargetMode="External"/><Relationship Id="rId19" Type="http://schemas.openxmlformats.org/officeDocument/2006/relationships/hyperlink" Target="mailto:rcd@okrlib.ru" TargetMode="External"/><Relationship Id="rId20" Type="http://schemas.openxmlformats.org/officeDocument/2006/relationships/hyperlink" Target="http://cted.ru" TargetMode="External"/><Relationship Id="rId21" Type="http://schemas.openxmlformats.org/officeDocument/2006/relationships/hyperlink" Target="http://okrlib.ru" TargetMode="External"/><Relationship Id="rId22" Type="http://schemas.openxmlformats.org/officeDocument/2006/relationships/hyperlink" Target="http://slib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E4672-FCF7-41C2-B161-F7EA168E7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Р7-Офис/7.3.3.220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revision>3</cp:revision>
  <dcterms:created xsi:type="dcterms:W3CDTF">2025-02-07T06:51:00Z</dcterms:created>
  <dcterms:modified xsi:type="dcterms:W3CDTF">2025-02-11T07:05:05Z</dcterms:modified>
</cp:coreProperties>
</file>